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19D4" w:rsidRDefault="00AD19D4" w:rsidP="00AD19D4">
      <w:pPr>
        <w:pStyle w:val="Default"/>
        <w:jc w:val="both"/>
        <w:rPr>
          <w:b/>
          <w:bCs/>
          <w:i/>
          <w:iCs/>
          <w:sz w:val="28"/>
          <w:szCs w:val="28"/>
        </w:rPr>
      </w:pPr>
      <w:bookmarkStart w:id="0" w:name="_GoBack"/>
      <w:bookmarkEnd w:id="0"/>
      <w:r>
        <w:rPr>
          <w:b/>
          <w:bCs/>
          <w:i/>
          <w:iCs/>
          <w:sz w:val="28"/>
          <w:szCs w:val="28"/>
        </w:rPr>
        <w:t xml:space="preserve">Convegno SPI - Prima della non autosufficienza: nuove forme di abitare sociale e </w:t>
      </w:r>
      <w:proofErr w:type="spellStart"/>
      <w:r>
        <w:rPr>
          <w:b/>
          <w:bCs/>
          <w:i/>
          <w:iCs/>
          <w:sz w:val="28"/>
          <w:szCs w:val="28"/>
        </w:rPr>
        <w:t>domiciliarità</w:t>
      </w:r>
      <w:proofErr w:type="spellEnd"/>
    </w:p>
    <w:p w:rsidR="00AD19D4" w:rsidRDefault="00AD19D4" w:rsidP="00AD19D4">
      <w:pPr>
        <w:pStyle w:val="Default"/>
        <w:jc w:val="both"/>
        <w:rPr>
          <w:b/>
          <w:bCs/>
          <w:i/>
          <w:iCs/>
          <w:sz w:val="28"/>
          <w:szCs w:val="28"/>
        </w:rPr>
      </w:pPr>
    </w:p>
    <w:p w:rsidR="00AD19D4" w:rsidRDefault="00AD19D4" w:rsidP="00AD19D4">
      <w:pPr>
        <w:pStyle w:val="Default"/>
        <w:jc w:val="both"/>
        <w:rPr>
          <w:b/>
          <w:sz w:val="28"/>
          <w:szCs w:val="28"/>
        </w:rPr>
      </w:pPr>
      <w:r w:rsidRPr="00AF1AE1">
        <w:rPr>
          <w:b/>
          <w:sz w:val="28"/>
          <w:szCs w:val="28"/>
        </w:rPr>
        <w:t>I bisogni degli anziani fragili</w:t>
      </w:r>
    </w:p>
    <w:p w:rsidR="00AD19D4" w:rsidRPr="00BE0DD7" w:rsidRDefault="00AD19D4" w:rsidP="00AD19D4">
      <w:pPr>
        <w:pStyle w:val="Default"/>
        <w:jc w:val="both"/>
        <w:rPr>
          <w:i/>
          <w:sz w:val="22"/>
          <w:szCs w:val="22"/>
        </w:rPr>
      </w:pPr>
      <w:r w:rsidRPr="00BE0DD7">
        <w:rPr>
          <w:i/>
          <w:sz w:val="22"/>
          <w:szCs w:val="22"/>
        </w:rPr>
        <w:t>Marco Arlotti</w:t>
      </w:r>
      <w:r>
        <w:rPr>
          <w:i/>
          <w:sz w:val="22"/>
          <w:szCs w:val="22"/>
        </w:rPr>
        <w:t>,</w:t>
      </w:r>
      <w:r w:rsidRPr="00AD19D4">
        <w:rPr>
          <w:i/>
          <w:sz w:val="22"/>
          <w:szCs w:val="22"/>
        </w:rPr>
        <w:t xml:space="preserve"> </w:t>
      </w:r>
      <w:r>
        <w:rPr>
          <w:i/>
          <w:sz w:val="22"/>
          <w:szCs w:val="22"/>
        </w:rPr>
        <w:t>Costanzo Ranci – LPS Laboratorio di politiche sociali, Politecnico di Milano</w:t>
      </w:r>
    </w:p>
    <w:p w:rsidR="00AD19D4" w:rsidRDefault="00AD19D4" w:rsidP="00AD19D4">
      <w:pPr>
        <w:pStyle w:val="Default"/>
        <w:jc w:val="both"/>
        <w:rPr>
          <w:sz w:val="20"/>
          <w:szCs w:val="20"/>
        </w:rPr>
      </w:pPr>
    </w:p>
    <w:p w:rsidR="00AD19D4" w:rsidRPr="00670AA3" w:rsidRDefault="00AD19D4" w:rsidP="00AD19D4">
      <w:pPr>
        <w:pStyle w:val="Default"/>
        <w:jc w:val="both"/>
      </w:pPr>
      <w:r w:rsidRPr="00670AA3">
        <w:t xml:space="preserve">Con </w:t>
      </w:r>
      <w:r>
        <w:t xml:space="preserve">questo </w:t>
      </w:r>
      <w:r w:rsidRPr="00670AA3">
        <w:t>intervento cercherò di sviluppare una breve riflessione attorno al tema dei bisogni degli anziani fragili, con una particolare attenzione al caso italiano. Più nello specifico, partirò con una veloce contestualizzazione di questo tema alla luce del processo più generale di invecchiamento della popolazione (par. 1), per poi passare in rassegna la strategia principale messa in atto a livello europeo per far fronte ai bisogni degli anziani fragili, cioè il modello dell’</w:t>
      </w:r>
      <w:proofErr w:type="spellStart"/>
      <w:r w:rsidRPr="00670AA3">
        <w:rPr>
          <w:i/>
        </w:rPr>
        <w:t>ageing</w:t>
      </w:r>
      <w:proofErr w:type="spellEnd"/>
      <w:r w:rsidRPr="00670AA3">
        <w:rPr>
          <w:i/>
        </w:rPr>
        <w:t xml:space="preserve"> in </w:t>
      </w:r>
      <w:proofErr w:type="spellStart"/>
      <w:r w:rsidRPr="00670AA3">
        <w:rPr>
          <w:i/>
        </w:rPr>
        <w:t>place</w:t>
      </w:r>
      <w:proofErr w:type="spellEnd"/>
      <w:r w:rsidRPr="00670AA3">
        <w:t xml:space="preserve"> (par. 2). Questo modello, che punta alla permanenza a domicilio, ha trovato una sua declinazione anche nel nostro paese, tuttavia, con elevati rischi di isolamento ed abbandono per profili specifici di bisogno di anziani fragili, come per esempio gli anziani soli o gli anziani che vivono in contesti abitativi problematici da un punto di vista strutturale (par. 3). In questo quadro, diventa quindi cruciale - come sicuramente vedremo nei prossimi interventi - una riflessione attorno a nuove strategie innovative che possano favorire a lungo termine la sostenibilità sociale del modello di </w:t>
      </w:r>
      <w:proofErr w:type="spellStart"/>
      <w:r w:rsidRPr="00670AA3">
        <w:rPr>
          <w:i/>
        </w:rPr>
        <w:t>ageing</w:t>
      </w:r>
      <w:proofErr w:type="spellEnd"/>
      <w:r w:rsidRPr="00670AA3">
        <w:rPr>
          <w:i/>
        </w:rPr>
        <w:t xml:space="preserve"> in </w:t>
      </w:r>
      <w:proofErr w:type="spellStart"/>
      <w:r w:rsidRPr="00670AA3">
        <w:rPr>
          <w:i/>
        </w:rPr>
        <w:t>place</w:t>
      </w:r>
      <w:proofErr w:type="spellEnd"/>
      <w:r w:rsidRPr="00670AA3">
        <w:t xml:space="preserve"> nel far fronte ai bisogni della popolazione anziana fragile nel nostro paese.</w:t>
      </w:r>
    </w:p>
    <w:p w:rsidR="00AD19D4" w:rsidRPr="00670AA3" w:rsidRDefault="00AD19D4" w:rsidP="00AD19D4">
      <w:pPr>
        <w:pStyle w:val="Default"/>
        <w:jc w:val="both"/>
        <w:rPr>
          <w:highlight w:val="yellow"/>
        </w:rPr>
      </w:pPr>
    </w:p>
    <w:p w:rsidR="00AD19D4" w:rsidRPr="00670AA3" w:rsidRDefault="00AD19D4" w:rsidP="00AD19D4">
      <w:pPr>
        <w:pStyle w:val="Default"/>
        <w:jc w:val="both"/>
        <w:rPr>
          <w:i/>
        </w:rPr>
      </w:pPr>
      <w:r w:rsidRPr="00670AA3">
        <w:rPr>
          <w:i/>
        </w:rPr>
        <w:t>1. L’invecchiamento della popolazione</w:t>
      </w:r>
    </w:p>
    <w:p w:rsidR="00AD19D4" w:rsidRPr="00670AA3" w:rsidRDefault="00AD19D4" w:rsidP="00AD19D4">
      <w:pPr>
        <w:pStyle w:val="Default"/>
        <w:jc w:val="both"/>
      </w:pPr>
      <w:r w:rsidRPr="00670AA3">
        <w:t>Partiamo dunque con una veloce contestualizzazione del tema oggetto di questo intervento. Come noto, uno dei processi principali di mutamento sociodemografico che ha investito e sta tutt’ora investendo con notevole intensità le società occidentali rimanda all’invecchiamento della popolazione, come mostrano chiaramente i dati relativi al forte aumento della popolazione over 65 ed in particolare di quella over 85. Nel quadro Europeo, l’Italia è fra i paesi con la più elevata incidenza di popolazione over 65 (nel 2016, 22%, rispetto al 19.2% dato EU-28), ed in particolare over 85 (nel 2016, 3,3%, rispetto al 2,6% dato EU-28) (http://ec.europa.eu/</w:t>
      </w:r>
      <w:proofErr w:type="spellStart"/>
      <w:r w:rsidRPr="00670AA3">
        <w:t>eurostat</w:t>
      </w:r>
      <w:proofErr w:type="spellEnd"/>
      <w:r w:rsidRPr="00670AA3">
        <w:t>/data/database).</w:t>
      </w:r>
    </w:p>
    <w:p w:rsidR="00AD19D4" w:rsidRPr="00670AA3" w:rsidRDefault="00AD19D4" w:rsidP="00AD19D4">
      <w:pPr>
        <w:pStyle w:val="Default"/>
        <w:jc w:val="both"/>
      </w:pPr>
      <w:r w:rsidRPr="00670AA3">
        <w:t>L’invecchiamento della popolazione si spiega a fronte di una più elevata aspettativa di vita media (nel 2015 in Italia 82,7, mentre a livello EU, 80,6) (</w:t>
      </w:r>
      <w:hyperlink r:id="rId5" w:history="1">
        <w:r w:rsidRPr="00670AA3">
          <w:rPr>
            <w:rStyle w:val="Collegamentoipertestuale"/>
          </w:rPr>
          <w:t>http://ec.europa.eu/eurostat/data/database</w:t>
        </w:r>
      </w:hyperlink>
      <w:r w:rsidRPr="00670AA3">
        <w:t xml:space="preserve">) anche se va notato che, dopo anni di crescita costante la stessa ha registrato nel 2015 una battuta d’arresto (ISTAT 2017a). </w:t>
      </w:r>
    </w:p>
    <w:p w:rsidR="00AD19D4" w:rsidRPr="00670AA3" w:rsidRDefault="00AD19D4" w:rsidP="00AD19D4">
      <w:pPr>
        <w:pStyle w:val="Default"/>
        <w:jc w:val="both"/>
      </w:pPr>
      <w:r w:rsidRPr="00670AA3">
        <w:t>Inoltre, sebbene nel corso degli anni si è assistito ad un crescente miglioramento delle condizioni di salute della popolazione anziana (nel 2015, per esempio, le persone di 65-74 anni in buona salute nel nostro paese erano il 40.2%, +8,9% rispetto al 2005) (</w:t>
      </w:r>
      <w:hyperlink r:id="rId6" w:history="1">
        <w:r w:rsidRPr="00670AA3">
          <w:rPr>
            <w:rStyle w:val="Collegamentoipertestuale"/>
          </w:rPr>
          <w:t>https://www.istat.it/it/anziani/stili-di-vita-e-salute</w:t>
        </w:r>
      </w:hyperlink>
      <w:r w:rsidRPr="00670AA3">
        <w:t>), ciononostante, la diffusione delle condizioni di limitazione e disabilità rimangono significative. Nel 2015, per esempio, più del 47% degli over 75 presentava forti limitazioni nell’espletamento di attività di vita quotidiana, come fare la spesa, preparare i pasti ecc. (ISTAT 2017b).</w:t>
      </w:r>
    </w:p>
    <w:p w:rsidR="00AD19D4" w:rsidRPr="00670AA3" w:rsidRDefault="00AD19D4" w:rsidP="00AD19D4">
      <w:pPr>
        <w:pStyle w:val="Default"/>
        <w:jc w:val="both"/>
      </w:pPr>
    </w:p>
    <w:p w:rsidR="00AD19D4" w:rsidRPr="00670AA3" w:rsidRDefault="00AD19D4" w:rsidP="00AD19D4">
      <w:pPr>
        <w:pStyle w:val="Default"/>
        <w:jc w:val="both"/>
        <w:rPr>
          <w:i/>
        </w:rPr>
      </w:pPr>
      <w:r w:rsidRPr="00670AA3">
        <w:rPr>
          <w:i/>
        </w:rPr>
        <w:t>2. La strategia dell’</w:t>
      </w:r>
      <w:proofErr w:type="spellStart"/>
      <w:r w:rsidRPr="00670AA3">
        <w:rPr>
          <w:i/>
        </w:rPr>
        <w:t>ageing</w:t>
      </w:r>
      <w:proofErr w:type="spellEnd"/>
      <w:r w:rsidRPr="00670AA3">
        <w:rPr>
          <w:i/>
        </w:rPr>
        <w:t xml:space="preserve"> in </w:t>
      </w:r>
      <w:proofErr w:type="spellStart"/>
      <w:r w:rsidRPr="00670AA3">
        <w:rPr>
          <w:i/>
        </w:rPr>
        <w:t>place</w:t>
      </w:r>
      <w:proofErr w:type="spellEnd"/>
    </w:p>
    <w:p w:rsidR="00AD19D4" w:rsidRPr="00670AA3" w:rsidRDefault="00AD19D4" w:rsidP="00AD19D4">
      <w:pPr>
        <w:pStyle w:val="Default"/>
        <w:jc w:val="both"/>
      </w:pPr>
      <w:r w:rsidRPr="00670AA3">
        <w:t xml:space="preserve">Entro questo quadro, una delle modalità principali messa in atto per far fronte ai bisogni della popolazione anziana fragile è stata quella che ha puntato a favorire la permanenza a domicilio, il cosiddetto </w:t>
      </w:r>
      <w:proofErr w:type="spellStart"/>
      <w:r w:rsidRPr="00670AA3">
        <w:rPr>
          <w:i/>
        </w:rPr>
        <w:t>ageing</w:t>
      </w:r>
      <w:proofErr w:type="spellEnd"/>
      <w:r w:rsidRPr="00670AA3">
        <w:rPr>
          <w:i/>
        </w:rPr>
        <w:t xml:space="preserve"> in </w:t>
      </w:r>
      <w:proofErr w:type="spellStart"/>
      <w:r w:rsidRPr="00670AA3">
        <w:rPr>
          <w:i/>
        </w:rPr>
        <w:t>place</w:t>
      </w:r>
      <w:proofErr w:type="spellEnd"/>
      <w:r w:rsidRPr="00670AA3">
        <w:t xml:space="preserve">. Attraverso tale strategia si è cercato da un lato di </w:t>
      </w:r>
      <w:r w:rsidRPr="00670AA3">
        <w:lastRenderedPageBreak/>
        <w:t xml:space="preserve">favorire una migliore qualità di vita della persona anziana e, al contempo, di contenere il ricorso ad opzioni molto più costose per le finanze pubbliche (su tutte, la residenzialità). </w:t>
      </w:r>
    </w:p>
    <w:p w:rsidR="00AD19D4" w:rsidRPr="00670AA3" w:rsidRDefault="00AD19D4" w:rsidP="00AD19D4">
      <w:pPr>
        <w:pStyle w:val="Default"/>
        <w:jc w:val="both"/>
      </w:pPr>
      <w:r w:rsidRPr="00670AA3">
        <w:t>La diffusione dell’</w:t>
      </w:r>
      <w:proofErr w:type="spellStart"/>
      <w:r w:rsidRPr="00670AA3">
        <w:rPr>
          <w:i/>
        </w:rPr>
        <w:t>ageing</w:t>
      </w:r>
      <w:proofErr w:type="spellEnd"/>
      <w:r w:rsidRPr="00670AA3">
        <w:rPr>
          <w:i/>
        </w:rPr>
        <w:t xml:space="preserve"> in </w:t>
      </w:r>
      <w:proofErr w:type="spellStart"/>
      <w:r w:rsidRPr="00670AA3">
        <w:rPr>
          <w:i/>
        </w:rPr>
        <w:t>place</w:t>
      </w:r>
      <w:proofErr w:type="spellEnd"/>
      <w:r w:rsidRPr="00670AA3">
        <w:t xml:space="preserve"> è stata, peraltro, favorita nel contesto europeo anche dalla presenza di alcune “pre-condizioni strutturali”. Tali precondizioni rimandano innanzitutto ad una forte diffusione, presso la popolazione anziana, della proprietà della casa: nel 2007, si stimava a livello europeo una proprietà della casa fra le persone anziane del 78% (</w:t>
      </w:r>
      <w:proofErr w:type="spellStart"/>
      <w:r w:rsidRPr="00670AA3">
        <w:t>Fernanded</w:t>
      </w:r>
      <w:proofErr w:type="spellEnd"/>
      <w:r w:rsidRPr="00670AA3">
        <w:t xml:space="preserve">-Carro 2013). Inoltre, tenuto conto che è pressoché impossibile la garanzia di una copertura pubblica h24 a domicilio per coprire i bisogni di anziani fragili, una seconda pre-condizione strutturale è quella che rimanda ad una diffusa possibilità di supporto da parte delle reti familiari. Dati (seppur allargati all’area OCSE) mostrano infatti come nel 2015, circa il 13% delle persone in età 50+ (in larga parte donne, che rappresentano più del 60% dei </w:t>
      </w:r>
      <w:proofErr w:type="spellStart"/>
      <w:r w:rsidRPr="00670AA3">
        <w:t>caregiver</w:t>
      </w:r>
      <w:proofErr w:type="spellEnd"/>
      <w:r w:rsidRPr="00670AA3">
        <w:t>) risultava svolgere attività di cura a livello informale su base giornaliera o settimanale (OECD 2017).</w:t>
      </w:r>
    </w:p>
    <w:p w:rsidR="00AD19D4" w:rsidRPr="00670AA3" w:rsidRDefault="00AD19D4" w:rsidP="00AD19D4">
      <w:pPr>
        <w:pStyle w:val="Default"/>
        <w:jc w:val="both"/>
      </w:pPr>
    </w:p>
    <w:p w:rsidR="00AD19D4" w:rsidRPr="00670AA3" w:rsidRDefault="00AD19D4" w:rsidP="00AD19D4">
      <w:pPr>
        <w:pStyle w:val="Default"/>
        <w:jc w:val="both"/>
        <w:rPr>
          <w:i/>
        </w:rPr>
      </w:pPr>
      <w:r w:rsidRPr="00670AA3">
        <w:rPr>
          <w:i/>
        </w:rPr>
        <w:t>3. I profili di bisogno degli anziani fragili nel quadro dell’</w:t>
      </w:r>
      <w:proofErr w:type="spellStart"/>
      <w:r w:rsidRPr="00670AA3">
        <w:rPr>
          <w:i/>
        </w:rPr>
        <w:t>ageing</w:t>
      </w:r>
      <w:proofErr w:type="spellEnd"/>
      <w:r w:rsidRPr="00670AA3">
        <w:rPr>
          <w:i/>
        </w:rPr>
        <w:t xml:space="preserve"> in </w:t>
      </w:r>
      <w:proofErr w:type="spellStart"/>
      <w:r w:rsidRPr="00670AA3">
        <w:rPr>
          <w:i/>
        </w:rPr>
        <w:t>place</w:t>
      </w:r>
      <w:proofErr w:type="spellEnd"/>
      <w:r w:rsidRPr="00670AA3">
        <w:rPr>
          <w:i/>
        </w:rPr>
        <w:t xml:space="preserve"> all’italiana </w:t>
      </w:r>
    </w:p>
    <w:p w:rsidR="00AD19D4" w:rsidRPr="00670AA3" w:rsidRDefault="00AD19D4" w:rsidP="00AD19D4">
      <w:pPr>
        <w:pStyle w:val="Default"/>
        <w:jc w:val="both"/>
      </w:pPr>
      <w:r w:rsidRPr="00670AA3">
        <w:t>Se passiamo ora ad analizzare più nello specifico il caso italiano, vediamo come anche nel nostro paese l’</w:t>
      </w:r>
      <w:proofErr w:type="spellStart"/>
      <w:r w:rsidRPr="00670AA3">
        <w:rPr>
          <w:i/>
        </w:rPr>
        <w:t>ageing</w:t>
      </w:r>
      <w:proofErr w:type="spellEnd"/>
      <w:r w:rsidRPr="00670AA3">
        <w:rPr>
          <w:i/>
        </w:rPr>
        <w:t xml:space="preserve"> in </w:t>
      </w:r>
      <w:proofErr w:type="spellStart"/>
      <w:r w:rsidRPr="00670AA3">
        <w:rPr>
          <w:i/>
        </w:rPr>
        <w:t>place</w:t>
      </w:r>
      <w:proofErr w:type="spellEnd"/>
      <w:r w:rsidRPr="00670AA3">
        <w:t xml:space="preserve"> ha costituito la modalità principale messa in atto per far fronte ai bisogni della popolazione anziana fragile, tuttavia con una declinazione che potremmo definire “all’italiana”. In altre parole, in un contesto in cui l’intervento pubblico è estremamente residuale e al contempo principalmente imperniato sulla leva dei trasferimenti monetari (in primis, l’Indennità di accompagnamento), anziché su quella dei servizi, l’</w:t>
      </w:r>
      <w:proofErr w:type="spellStart"/>
      <w:r w:rsidRPr="00670AA3">
        <w:rPr>
          <w:i/>
        </w:rPr>
        <w:t>ageing</w:t>
      </w:r>
      <w:proofErr w:type="spellEnd"/>
      <w:r w:rsidRPr="00670AA3">
        <w:rPr>
          <w:i/>
        </w:rPr>
        <w:t xml:space="preserve"> in </w:t>
      </w:r>
      <w:proofErr w:type="spellStart"/>
      <w:r w:rsidRPr="00670AA3">
        <w:rPr>
          <w:i/>
        </w:rPr>
        <w:t>place</w:t>
      </w:r>
      <w:proofErr w:type="spellEnd"/>
      <w:r w:rsidRPr="00670AA3">
        <w:t xml:space="preserve"> si è tramutato in una sostanziale delega in bianco alle famiglie, cioè sulle donne, a cui si è aggiunto nel corso degli anni un crescente ricorso a lavoratrici straniere (le badanti), in larga parte senza contratto ed in termini irregolari (secondo le stime più recenti sono complessivamente 840.000 le badanti nel nostro paese, di cui solo il 45% con regolare contratto di lavoro) (https://welforum.it/il-punto/la-badante-non-basta-piu/badanti-in-italia/)</w:t>
      </w:r>
    </w:p>
    <w:p w:rsidR="00AD19D4" w:rsidRPr="00670AA3" w:rsidRDefault="00AD19D4" w:rsidP="00AD19D4">
      <w:pPr>
        <w:pStyle w:val="Default"/>
        <w:jc w:val="both"/>
      </w:pPr>
      <w:r w:rsidRPr="00670AA3">
        <w:t xml:space="preserve">Nonostante il forte scarico sul lavoro di cura femminile e l’impiego spesso irregolare di lavoratrici straniere, il modello di </w:t>
      </w:r>
      <w:proofErr w:type="spellStart"/>
      <w:r w:rsidRPr="00670AA3">
        <w:rPr>
          <w:i/>
        </w:rPr>
        <w:t>ageing</w:t>
      </w:r>
      <w:proofErr w:type="spellEnd"/>
      <w:r w:rsidRPr="00670AA3">
        <w:rPr>
          <w:i/>
        </w:rPr>
        <w:t xml:space="preserve"> in </w:t>
      </w:r>
      <w:proofErr w:type="spellStart"/>
      <w:r w:rsidRPr="00670AA3">
        <w:rPr>
          <w:i/>
        </w:rPr>
        <w:t>place</w:t>
      </w:r>
      <w:proofErr w:type="spellEnd"/>
      <w:r w:rsidRPr="00670AA3">
        <w:t xml:space="preserve"> ha rappresentato in molti casi un’opzione fondamentale per garantire una migliore qualità di vita alle persone anziane fragili, consentendo loro di rimanere nei contesti sociali e familiari di riferimento. Al contempo, tuttavia, la declinazione all’italiana di questo modello ha determinato fenomeni di vero e proprio “intrappolamento”, con rischi elevati di abbandono ed isolamento per profili specifici di bisogno di anziani fragili. Nello specifico, tali rischi sembrano emergere con più forza quando le due “pre-condizioni strutturali” di cui abbiamo detto in precedenza del modello di </w:t>
      </w:r>
      <w:proofErr w:type="spellStart"/>
      <w:r w:rsidRPr="00670AA3">
        <w:rPr>
          <w:i/>
        </w:rPr>
        <w:t>ageing</w:t>
      </w:r>
      <w:proofErr w:type="spellEnd"/>
      <w:r w:rsidRPr="00670AA3">
        <w:rPr>
          <w:i/>
        </w:rPr>
        <w:t xml:space="preserve"> in </w:t>
      </w:r>
      <w:proofErr w:type="spellStart"/>
      <w:r w:rsidRPr="00670AA3">
        <w:rPr>
          <w:i/>
        </w:rPr>
        <w:t>place</w:t>
      </w:r>
      <w:proofErr w:type="spellEnd"/>
      <w:r w:rsidRPr="00670AA3">
        <w:t>, cioè la precondizione strutturale-abitativa e quella relativa alla presenza di reti informali/familiari di supporto, vengono meno o risultano fortemente compromesse. A questo proposito fa</w:t>
      </w:r>
      <w:r>
        <w:t xml:space="preserve">rò </w:t>
      </w:r>
      <w:r w:rsidRPr="00670AA3">
        <w:t>riferimento a due profili specifici di fragilità, cioè da un lato al caso degli anziani che vivono soli e, dall’altro lato, a quello degli anziani che vivono in contesti abitativi che presentano forti problematicità da un punto di vista strutturale. Ovviamente questi due profili di fragilità possono (e spesso) tendono a sovrapporsi, tuttavia in questo intervento – solo a fini esemplificativi – svilupperò alcune brevi considerazioni rispetto ciascuno separatamente.</w:t>
      </w:r>
    </w:p>
    <w:p w:rsidR="00AD19D4" w:rsidRPr="00670AA3" w:rsidRDefault="00AD19D4" w:rsidP="00AD19D4">
      <w:pPr>
        <w:pStyle w:val="Default"/>
        <w:jc w:val="both"/>
      </w:pPr>
    </w:p>
    <w:p w:rsidR="00AD19D4" w:rsidRPr="00670AA3" w:rsidRDefault="00AD19D4" w:rsidP="00AD19D4">
      <w:pPr>
        <w:pStyle w:val="Default"/>
        <w:jc w:val="both"/>
        <w:rPr>
          <w:i/>
        </w:rPr>
      </w:pPr>
      <w:r w:rsidRPr="00670AA3">
        <w:rPr>
          <w:i/>
        </w:rPr>
        <w:t>Gli anziani che vivono soli</w:t>
      </w:r>
    </w:p>
    <w:p w:rsidR="00AD19D4" w:rsidRPr="00670AA3" w:rsidRDefault="00AD19D4" w:rsidP="00AD19D4">
      <w:pPr>
        <w:pStyle w:val="Default"/>
        <w:jc w:val="both"/>
      </w:pPr>
      <w:r w:rsidRPr="00670AA3">
        <w:t xml:space="preserve">Dunque, venendo al primo profilo, possiamo dire che gli anziani soli (in larga parte donne, a fronte di una più elevata aspettativa di vita media) rappresentano oggi uno dei </w:t>
      </w:r>
      <w:r w:rsidRPr="00670AA3">
        <w:lastRenderedPageBreak/>
        <w:t xml:space="preserve">profili di maggiore fragilità. Non a caso secondo l’indagine Istat che ha misurato la percezione individuale del sostegno sociale, essi rappresentano coloro che tendono a sentirsi meno protetti e che avvertono un maggiore senso di abbandono (ISTAT 2017b), </w:t>
      </w:r>
    </w:p>
    <w:p w:rsidR="00AD19D4" w:rsidRPr="00670AA3" w:rsidRDefault="00AD19D4" w:rsidP="00AD19D4">
      <w:pPr>
        <w:pStyle w:val="Default"/>
        <w:jc w:val="both"/>
      </w:pPr>
      <w:r w:rsidRPr="00670AA3">
        <w:t>E’ importante notare come questo profilo si stia diffondendo crescentemente all’interno della società italiana. Il 48,7% delle famiglie con un’unica persona risulta, non a caso, composta da anziani over 65 e dopo gli 84 anni, la condizione di “persona sola” diventa nettamente prevalente, interessando il 52,2% delle persone in questa fascia d’età (https://www.istat.it/it/anziani/popolazione-e-famiglie)</w:t>
      </w:r>
    </w:p>
    <w:p w:rsidR="00AD19D4" w:rsidRPr="00670AA3" w:rsidRDefault="00AD19D4" w:rsidP="00AD19D4">
      <w:pPr>
        <w:pStyle w:val="Default"/>
        <w:jc w:val="both"/>
      </w:pPr>
      <w:r w:rsidRPr="00670AA3">
        <w:t xml:space="preserve">Inoltre, anche se la quota di famiglie che vedono la co-residenza di un anziano con il proprio figlio risulta ancora rilevante nel nostro paese (per esempio, sono circa il 20% le famiglie di coppia fra i 65-74 anni in cui sono ancora presenti figli non ancora usciti dal nucleo genitoriale) (https://www.istat.it/it/anziani/popolazione-e-famiglie), al contempo le coppie di anziani senza figli tendono a rappresentare fino alla soglia degli 84 anni la quota maggioritaria (cioè il 48% delle persone fra i 65 e i 74 anni, e il 40% delle persone fra i 75 e gli 84 anni) (https://www.istat.it/it/anziani/popolazione-e-famiglie). </w:t>
      </w:r>
    </w:p>
    <w:p w:rsidR="00AD19D4" w:rsidRPr="00670AA3" w:rsidRDefault="00AD19D4" w:rsidP="00AD19D4">
      <w:pPr>
        <w:pStyle w:val="Default"/>
        <w:jc w:val="both"/>
      </w:pPr>
      <w:r w:rsidRPr="00670AA3">
        <w:t>Questo fenomeno, quindi, di “semplificazione” delle strutture familiari (ISTAT 2017a) tende e tenderà, peraltro, sempre più ad intrecciarsi in prospettiva con altri importanti processi di mutamento che investono la sfera d</w:t>
      </w:r>
      <w:r>
        <w:t xml:space="preserve">elle reti familiari di supporto. Mi riferisco in particolare alla </w:t>
      </w:r>
      <w:r w:rsidRPr="00670AA3">
        <w:t xml:space="preserve">contrazione del bacino dei potenziali </w:t>
      </w:r>
      <w:proofErr w:type="spellStart"/>
      <w:r w:rsidRPr="00670AA3">
        <w:t>caregiver</w:t>
      </w:r>
      <w:proofErr w:type="spellEnd"/>
      <w:r w:rsidRPr="00670AA3">
        <w:t xml:space="preserve"> - dettato </w:t>
      </w:r>
      <w:r>
        <w:t xml:space="preserve">da un lato </w:t>
      </w:r>
      <w:r w:rsidRPr="00670AA3">
        <w:t xml:space="preserve">dal mutamento nell’equilibrio demografico fra le generazioni, con un rapporto anziani/adulti sempre più elevato (per l’effetto congiunto di bassa fertilità, </w:t>
      </w:r>
      <w:proofErr w:type="spellStart"/>
      <w:r w:rsidRPr="00670AA3">
        <w:t>persistemente</w:t>
      </w:r>
      <w:proofErr w:type="spellEnd"/>
      <w:r w:rsidRPr="00670AA3">
        <w:t xml:space="preserve"> al di sotto della soglia naturale di sostituzione) (nel 2014, 1,37 figli in media per donna) (ISTAT 2017a) ed invecchiamento della popolazione)</w:t>
      </w:r>
      <w:r>
        <w:t>; mentre dall’altro lato dalla</w:t>
      </w:r>
      <w:r w:rsidRPr="00670AA3">
        <w:t xml:space="preserve"> crescente partecipazione delle donne nel mercato del lavoro, peraltro sempre più estesa nel tempo a fronte delle riforme pensionistiche degli ultimi anni. </w:t>
      </w:r>
    </w:p>
    <w:p w:rsidR="00AD19D4" w:rsidRPr="00670AA3" w:rsidRDefault="00AD19D4" w:rsidP="00AD19D4">
      <w:pPr>
        <w:pStyle w:val="Default"/>
        <w:jc w:val="both"/>
      </w:pPr>
    </w:p>
    <w:p w:rsidR="00AD19D4" w:rsidRPr="00670AA3" w:rsidRDefault="00AD19D4" w:rsidP="00AD19D4">
      <w:pPr>
        <w:pStyle w:val="Default"/>
        <w:jc w:val="both"/>
        <w:rPr>
          <w:i/>
        </w:rPr>
      </w:pPr>
      <w:r w:rsidRPr="00670AA3">
        <w:rPr>
          <w:i/>
        </w:rPr>
        <w:t>La condizione abitativa degli anziani</w:t>
      </w:r>
    </w:p>
    <w:p w:rsidR="00AD19D4" w:rsidRPr="00670AA3" w:rsidRDefault="00AD19D4" w:rsidP="00AD19D4">
      <w:pPr>
        <w:pStyle w:val="Default"/>
        <w:jc w:val="both"/>
      </w:pPr>
      <w:r w:rsidRPr="00670AA3">
        <w:t>Al profilo di bisogno degli anziani fragili soli si aggiunge, inoltre, quello relativo ad anziani la cui fragilità si contestualizza, in particolare, all’interno della problematicità dei contesti abitativi di riferimento. In base ai dati del Censimento 2011 emerge, infatti, che se da un lato una delle pre-condizioni strutturali dell’</w:t>
      </w:r>
      <w:proofErr w:type="spellStart"/>
      <w:r w:rsidRPr="00670AA3">
        <w:t>ageing</w:t>
      </w:r>
      <w:proofErr w:type="spellEnd"/>
      <w:r w:rsidRPr="00670AA3">
        <w:t xml:space="preserve"> in </w:t>
      </w:r>
      <w:proofErr w:type="spellStart"/>
      <w:r w:rsidRPr="00670AA3">
        <w:t>place</w:t>
      </w:r>
      <w:proofErr w:type="spellEnd"/>
      <w:r w:rsidRPr="00670AA3">
        <w:t>, cioè la proprietà della casa, risulta fortemente diffusa nel nostro paese (riguardando l’80,3% della popolazione anziana) (</w:t>
      </w:r>
      <w:proofErr w:type="spellStart"/>
      <w:r w:rsidRPr="00670AA3">
        <w:t>Falasca</w:t>
      </w:r>
      <w:proofErr w:type="spellEnd"/>
      <w:r w:rsidRPr="00670AA3">
        <w:t xml:space="preserve"> 2015) dall’altro lato, tuttavia, tale pre-condizione è spesso investita da forti elementi di problematicità. Ad esempio dai dati sull’epoca di costruzione risultava che nel 2011, il 35,4% degli edifici abitati da anziani era stato costruito prima del 1961 e circa il 19,5% prima del 1946: insomma un patrimonio abitativo che per il 54,9% dei casi risultava avere più di 50 anni (ibidem), e da cui possono scaturire inevitabilmente precarietà delle condizioni alloggiative e diverse inadeguatezze (ad esempio il 76% delle abitazioni in cui vivevano anziani era privo di ascensore) (</w:t>
      </w:r>
      <w:proofErr w:type="spellStart"/>
      <w:r w:rsidRPr="00670AA3">
        <w:t>Falasca</w:t>
      </w:r>
      <w:proofErr w:type="spellEnd"/>
      <w:r w:rsidRPr="00670AA3">
        <w:t xml:space="preserve"> 2016). Dati più recenti (EU-SILC 2016) sembrano peraltro confermare sostanzialmente questo quadro: per esempio, l’incidenza di persone che dichiarano di vivere in abitazioni con problemi strutturali, cioè in abitazioni danneggiate, risulta essere più elevata nel caso di persone anziane (in particolare, che vivono sole: 15,5%) rispetto al dato che si registra invece sulla popolazione nel suo complesso (12,9%) (</w:t>
      </w:r>
      <w:proofErr w:type="spellStart"/>
      <w:r w:rsidRPr="00670AA3">
        <w:t>datwarehouse</w:t>
      </w:r>
      <w:proofErr w:type="spellEnd"/>
      <w:r w:rsidRPr="00670AA3">
        <w:t xml:space="preserve"> </w:t>
      </w:r>
      <w:proofErr w:type="spellStart"/>
      <w:r w:rsidRPr="00670AA3">
        <w:t>istat</w:t>
      </w:r>
      <w:proofErr w:type="spellEnd"/>
      <w:r w:rsidRPr="00670AA3">
        <w:t>, http://dati.istat.it/).</w:t>
      </w:r>
    </w:p>
    <w:p w:rsidR="00573CD6" w:rsidRDefault="00573CD6" w:rsidP="00AD19D4">
      <w:pPr>
        <w:pStyle w:val="Default"/>
        <w:jc w:val="both"/>
      </w:pPr>
    </w:p>
    <w:p w:rsidR="00AD19D4" w:rsidRPr="00670AA3" w:rsidRDefault="00AD19D4" w:rsidP="00AD19D4">
      <w:pPr>
        <w:pStyle w:val="Default"/>
        <w:jc w:val="both"/>
        <w:rPr>
          <w:i/>
        </w:rPr>
      </w:pPr>
      <w:r w:rsidRPr="00670AA3">
        <w:rPr>
          <w:i/>
        </w:rPr>
        <w:t>4. Per concludere: le sfide future</w:t>
      </w:r>
    </w:p>
    <w:p w:rsidR="00AD19D4" w:rsidRPr="00670AA3" w:rsidRDefault="00AD19D4" w:rsidP="00AD19D4">
      <w:pPr>
        <w:pStyle w:val="Default"/>
        <w:jc w:val="both"/>
      </w:pPr>
      <w:r w:rsidRPr="00670AA3">
        <w:lastRenderedPageBreak/>
        <w:t>Dunque per concludere, abbiamo visto come anche nel nostro paese – in linea con gli orientamenti europei - la strategia dell’</w:t>
      </w:r>
      <w:proofErr w:type="spellStart"/>
      <w:r w:rsidRPr="00670AA3">
        <w:rPr>
          <w:i/>
        </w:rPr>
        <w:t>ageing</w:t>
      </w:r>
      <w:proofErr w:type="spellEnd"/>
      <w:r w:rsidRPr="00670AA3">
        <w:rPr>
          <w:i/>
        </w:rPr>
        <w:t xml:space="preserve"> in </w:t>
      </w:r>
      <w:proofErr w:type="spellStart"/>
      <w:r w:rsidRPr="00670AA3">
        <w:rPr>
          <w:i/>
        </w:rPr>
        <w:t>place</w:t>
      </w:r>
      <w:proofErr w:type="spellEnd"/>
      <w:r w:rsidRPr="00670AA3">
        <w:t xml:space="preserve">, cioè del supporto alla permanenza a domicilio, è stata quella su cui più si è puntato per far fronte ai bisogni crescenti legati alla fragilità della popolazione anziana. Tale strategia ha indubbiamente diversi vantaggi, in primis la possibilità dell’anziano di poter continuare a vivere nel proprio contesto di riferimento. </w:t>
      </w:r>
    </w:p>
    <w:p w:rsidR="00AD19D4" w:rsidRPr="00670AA3" w:rsidRDefault="00AD19D4" w:rsidP="00AD19D4">
      <w:pPr>
        <w:pStyle w:val="Default"/>
        <w:jc w:val="both"/>
      </w:pPr>
      <w:r w:rsidRPr="00670AA3">
        <w:t xml:space="preserve">Al contempo, tuttavia, esistono anche forti rischi riguardo la sostenibilità sociale ed economica di questo modello, tenuto conto sia della progressiva contrazione del bacino dei potenziali </w:t>
      </w:r>
      <w:proofErr w:type="spellStart"/>
      <w:r w:rsidRPr="00670AA3">
        <w:t>caregiver</w:t>
      </w:r>
      <w:proofErr w:type="spellEnd"/>
      <w:r w:rsidRPr="00670AA3">
        <w:t xml:space="preserve"> (alla luce dell’effetto congiunto di bassa fertilità ed invecchiamento della popolazione), che dello scarico sistematico sul lavoro di cura femminile e sull’impiego in larga parte irregolare di lavoratrici straniere. In aggiunta, abbiamo visto come all’interno del modello di </w:t>
      </w:r>
      <w:proofErr w:type="spellStart"/>
      <w:r w:rsidRPr="00670AA3">
        <w:rPr>
          <w:i/>
        </w:rPr>
        <w:t>ageing</w:t>
      </w:r>
      <w:proofErr w:type="spellEnd"/>
      <w:r w:rsidRPr="00670AA3">
        <w:rPr>
          <w:i/>
        </w:rPr>
        <w:t xml:space="preserve"> in </w:t>
      </w:r>
      <w:proofErr w:type="spellStart"/>
      <w:r w:rsidRPr="00670AA3">
        <w:rPr>
          <w:i/>
        </w:rPr>
        <w:t>place</w:t>
      </w:r>
      <w:proofErr w:type="spellEnd"/>
      <w:r w:rsidRPr="00670AA3">
        <w:t xml:space="preserve"> “all’italiana” si delineano alcuni profili specifici di bisogno legati ad anziani fragili che presentano un certo grado di compromissioni nelle “pre-condizioni strutturali” necessarie per l’implementazione di questo modello, come nel caso dell’assenza di reti di supporto o della precarietà delle condizioni abitative, </w:t>
      </w:r>
    </w:p>
    <w:p w:rsidR="00AD19D4" w:rsidRPr="00670AA3" w:rsidRDefault="00AD19D4" w:rsidP="00AD19D4">
      <w:pPr>
        <w:pStyle w:val="Default"/>
        <w:jc w:val="both"/>
      </w:pPr>
      <w:r w:rsidRPr="00670AA3">
        <w:t>In assenza di tali “pre-condizioni” l’</w:t>
      </w:r>
      <w:proofErr w:type="spellStart"/>
      <w:r w:rsidRPr="00670AA3">
        <w:rPr>
          <w:i/>
        </w:rPr>
        <w:t>ageing</w:t>
      </w:r>
      <w:proofErr w:type="spellEnd"/>
      <w:r w:rsidRPr="00670AA3">
        <w:rPr>
          <w:i/>
        </w:rPr>
        <w:t xml:space="preserve"> in </w:t>
      </w:r>
      <w:proofErr w:type="spellStart"/>
      <w:r w:rsidRPr="00670AA3">
        <w:rPr>
          <w:i/>
        </w:rPr>
        <w:t>place</w:t>
      </w:r>
      <w:proofErr w:type="spellEnd"/>
      <w:r w:rsidRPr="00670AA3">
        <w:t xml:space="preserve"> rischia infatti di trasformarsi in una “trappola”, che non assicura alcuna qualità né sicurezza nella vita delle persone anziane in particolare di quelle più fragili. In quest’ottica diventa, quindi, cruciale – come sicuramente vedremo nei prossimi interventi - una riflessione attorno a nuove strategie innovative, attraverso per esempio interventi mirati al miglioramento delle condizioni strutturali abitative, oppure al sostegno e rafforzamento delle reti di prossimità, che possano favorire a lungo termine la sostenibilità sociale del modello di </w:t>
      </w:r>
      <w:proofErr w:type="spellStart"/>
      <w:r w:rsidRPr="00670AA3">
        <w:rPr>
          <w:i/>
        </w:rPr>
        <w:t>ageing</w:t>
      </w:r>
      <w:proofErr w:type="spellEnd"/>
      <w:r w:rsidRPr="00670AA3">
        <w:rPr>
          <w:i/>
        </w:rPr>
        <w:t xml:space="preserve"> in </w:t>
      </w:r>
      <w:proofErr w:type="spellStart"/>
      <w:r w:rsidRPr="00670AA3">
        <w:rPr>
          <w:i/>
        </w:rPr>
        <w:t>place</w:t>
      </w:r>
      <w:proofErr w:type="spellEnd"/>
      <w:r w:rsidRPr="00670AA3">
        <w:t xml:space="preserve"> nel far fronte ai bisogni della popolazione anziana fragile nel nostro paese.</w:t>
      </w:r>
    </w:p>
    <w:p w:rsidR="00AD19D4" w:rsidRDefault="00AD19D4" w:rsidP="00AD19D4">
      <w:pPr>
        <w:pStyle w:val="Default"/>
        <w:jc w:val="both"/>
        <w:rPr>
          <w:sz w:val="20"/>
          <w:szCs w:val="20"/>
        </w:rPr>
      </w:pPr>
    </w:p>
    <w:p w:rsidR="00AD19D4" w:rsidRPr="006C728E" w:rsidRDefault="00AD19D4" w:rsidP="00AD19D4">
      <w:pPr>
        <w:pStyle w:val="Default"/>
        <w:jc w:val="both"/>
        <w:rPr>
          <w:i/>
        </w:rPr>
      </w:pPr>
      <w:r w:rsidRPr="006C728E">
        <w:rPr>
          <w:i/>
        </w:rPr>
        <w:t>Riferimenti</w:t>
      </w:r>
    </w:p>
    <w:p w:rsidR="00AD19D4" w:rsidRPr="006C728E" w:rsidRDefault="00AD19D4" w:rsidP="00AD19D4">
      <w:pPr>
        <w:pStyle w:val="Default"/>
        <w:jc w:val="both"/>
      </w:pPr>
    </w:p>
    <w:p w:rsidR="00AD19D4" w:rsidRPr="006C728E" w:rsidRDefault="00AD19D4" w:rsidP="00AD19D4">
      <w:pPr>
        <w:pStyle w:val="Default"/>
        <w:jc w:val="both"/>
        <w:rPr>
          <w:i/>
        </w:rPr>
      </w:pPr>
      <w:proofErr w:type="spellStart"/>
      <w:r w:rsidRPr="006C728E">
        <w:t>Falasca</w:t>
      </w:r>
      <w:proofErr w:type="spellEnd"/>
      <w:r w:rsidRPr="006C728E">
        <w:t>, C. (</w:t>
      </w:r>
      <w:proofErr w:type="spellStart"/>
      <w:r w:rsidRPr="006C728E">
        <w:t>eds</w:t>
      </w:r>
      <w:proofErr w:type="spellEnd"/>
      <w:r w:rsidRPr="006C728E">
        <w:t>) (2016</w:t>
      </w:r>
      <w:r w:rsidRPr="006C728E">
        <w:rPr>
          <w:i/>
        </w:rPr>
        <w:t>), Abitare e Anziani – 2° Rapporto sulla condizione abitativa degli anziani che vivono</w:t>
      </w:r>
      <w:r>
        <w:rPr>
          <w:i/>
        </w:rPr>
        <w:t xml:space="preserve"> </w:t>
      </w:r>
      <w:r w:rsidRPr="006C728E">
        <w:rPr>
          <w:i/>
        </w:rPr>
        <w:t>in case di proprietà - 2015</w:t>
      </w:r>
      <w:r w:rsidRPr="006C728E">
        <w:t>, Roma. http://www1.auser.it/wpcontent/</w:t>
      </w:r>
    </w:p>
    <w:p w:rsidR="00AD19D4" w:rsidRPr="006C728E" w:rsidRDefault="00AD19D4" w:rsidP="00AD19D4">
      <w:pPr>
        <w:pStyle w:val="Default"/>
        <w:jc w:val="both"/>
      </w:pPr>
      <w:r w:rsidRPr="006C728E">
        <w:t>uploads/2015/11/SECONDO%20RAPPORTO%20SULLE%20CONDIZIONI%20ABITATIVE%20DEGLI%20ANZI</w:t>
      </w:r>
      <w:proofErr w:type="spellStart"/>
      <w:r w:rsidRPr="006C728E">
        <w:rPr>
          <w:lang w:val="en-US"/>
        </w:rPr>
        <w:t>ANI.pd</w:t>
      </w:r>
      <w:proofErr w:type="spellEnd"/>
    </w:p>
    <w:p w:rsidR="00AD19D4" w:rsidRDefault="00AD19D4" w:rsidP="00AD19D4">
      <w:pPr>
        <w:pStyle w:val="Default"/>
        <w:jc w:val="both"/>
        <w:rPr>
          <w:lang w:val="en-US"/>
        </w:rPr>
      </w:pPr>
    </w:p>
    <w:p w:rsidR="00AD19D4" w:rsidRPr="006C728E" w:rsidRDefault="00AD19D4" w:rsidP="00AD19D4">
      <w:pPr>
        <w:pStyle w:val="Default"/>
        <w:jc w:val="both"/>
      </w:pPr>
      <w:r w:rsidRPr="006C728E">
        <w:rPr>
          <w:lang w:val="en-US"/>
        </w:rPr>
        <w:t>Fernandez-</w:t>
      </w:r>
      <w:proofErr w:type="spellStart"/>
      <w:r w:rsidRPr="006C728E">
        <w:rPr>
          <w:lang w:val="en-US"/>
        </w:rPr>
        <w:t>Carro</w:t>
      </w:r>
      <w:proofErr w:type="spellEnd"/>
      <w:r w:rsidRPr="006C728E">
        <w:rPr>
          <w:lang w:val="en-US"/>
        </w:rPr>
        <w:t xml:space="preserve"> (2013) </w:t>
      </w:r>
      <w:r w:rsidRPr="006C728E">
        <w:rPr>
          <w:i/>
          <w:lang w:val="en-US"/>
        </w:rPr>
        <w:t>Ageing in place in Europe: a multidimensional approach to independent living in later life</w:t>
      </w:r>
      <w:r w:rsidRPr="006C728E">
        <w:rPr>
          <w:lang w:val="en-US"/>
        </w:rPr>
        <w:t xml:space="preserve">. </w:t>
      </w:r>
      <w:proofErr w:type="spellStart"/>
      <w:r w:rsidRPr="006C728E">
        <w:t>PhD</w:t>
      </w:r>
      <w:proofErr w:type="spellEnd"/>
      <w:r w:rsidRPr="006C728E">
        <w:t xml:space="preserve"> </w:t>
      </w:r>
      <w:proofErr w:type="spellStart"/>
      <w:r w:rsidRPr="006C728E">
        <w:t>Thesis</w:t>
      </w:r>
      <w:proofErr w:type="spellEnd"/>
      <w:r w:rsidRPr="006C728E">
        <w:t xml:space="preserve">. </w:t>
      </w:r>
      <w:proofErr w:type="spellStart"/>
      <w:r w:rsidRPr="006C728E">
        <w:t>Autonomous</w:t>
      </w:r>
      <w:proofErr w:type="spellEnd"/>
      <w:r w:rsidRPr="006C728E">
        <w:t xml:space="preserve"> </w:t>
      </w:r>
      <w:proofErr w:type="spellStart"/>
      <w:r w:rsidRPr="006C728E">
        <w:t>University</w:t>
      </w:r>
      <w:proofErr w:type="spellEnd"/>
      <w:r w:rsidRPr="006C728E">
        <w:t xml:space="preserve"> of </w:t>
      </w:r>
      <w:proofErr w:type="spellStart"/>
      <w:r w:rsidRPr="006C728E">
        <w:t>Barcelona</w:t>
      </w:r>
      <w:proofErr w:type="spellEnd"/>
    </w:p>
    <w:p w:rsidR="00AD19D4" w:rsidRDefault="00AD19D4" w:rsidP="00AD19D4">
      <w:pPr>
        <w:pStyle w:val="Default"/>
        <w:jc w:val="both"/>
      </w:pPr>
    </w:p>
    <w:p w:rsidR="00AD19D4" w:rsidRPr="006C728E" w:rsidRDefault="00AD19D4" w:rsidP="00AD19D4">
      <w:pPr>
        <w:pStyle w:val="Default"/>
        <w:jc w:val="both"/>
      </w:pPr>
      <w:r w:rsidRPr="006C728E">
        <w:t xml:space="preserve">ISTAT (2017a), </w:t>
      </w:r>
      <w:r w:rsidRPr="006C728E">
        <w:rPr>
          <w:i/>
        </w:rPr>
        <w:t>Annuario statistico italiano 2017</w:t>
      </w:r>
      <w:r w:rsidRPr="006C728E">
        <w:t xml:space="preserve">, Roma, http://www.istat.it/it/archivio/207188 </w:t>
      </w:r>
    </w:p>
    <w:p w:rsidR="00AD19D4" w:rsidRDefault="00AD19D4" w:rsidP="00AD19D4">
      <w:pPr>
        <w:pStyle w:val="Default"/>
        <w:jc w:val="both"/>
      </w:pPr>
    </w:p>
    <w:p w:rsidR="00AD19D4" w:rsidRPr="006C728E" w:rsidRDefault="00AD19D4" w:rsidP="00AD19D4">
      <w:pPr>
        <w:pStyle w:val="Default"/>
        <w:jc w:val="both"/>
      </w:pPr>
      <w:r w:rsidRPr="006C728E">
        <w:t xml:space="preserve">ISTAT (2017b), </w:t>
      </w:r>
      <w:r w:rsidRPr="006C728E">
        <w:rPr>
          <w:i/>
        </w:rPr>
        <w:t xml:space="preserve">Anziani: le </w:t>
      </w:r>
      <w:r>
        <w:rPr>
          <w:i/>
        </w:rPr>
        <w:t xml:space="preserve">condizioni di salute in </w:t>
      </w:r>
      <w:r w:rsidRPr="006C728E">
        <w:rPr>
          <w:i/>
        </w:rPr>
        <w:t>Italia e nell’Unione europea</w:t>
      </w:r>
      <w:r w:rsidRPr="006C728E">
        <w:t>, https://www.istat.it/it/files/2017/09/Condizioni_Salute_anziani_anno_2015.pdf?title=Condizioni+di+salute+degli+anziani+-+26%2Fset%2F2017+-+Condizioni_Salute_anziani_anno_2015.pdf</w:t>
      </w:r>
    </w:p>
    <w:p w:rsidR="00AD19D4" w:rsidRDefault="00AD19D4" w:rsidP="00AD19D4">
      <w:pPr>
        <w:pStyle w:val="Default"/>
        <w:jc w:val="both"/>
        <w:rPr>
          <w:lang w:val="en-US"/>
        </w:rPr>
      </w:pPr>
    </w:p>
    <w:p w:rsidR="00AD19D4" w:rsidRPr="006C728E" w:rsidRDefault="00AD19D4" w:rsidP="00AD19D4">
      <w:pPr>
        <w:pStyle w:val="Default"/>
        <w:jc w:val="both"/>
        <w:rPr>
          <w:lang w:val="en-US"/>
        </w:rPr>
      </w:pPr>
      <w:r w:rsidRPr="006C728E">
        <w:rPr>
          <w:lang w:val="en-US"/>
        </w:rPr>
        <w:t xml:space="preserve">OECD (2017), </w:t>
      </w:r>
      <w:r w:rsidRPr="006C728E">
        <w:rPr>
          <w:i/>
          <w:lang w:val="en-US"/>
        </w:rPr>
        <w:t>Health at a Glance 2017: OECD Indicators</w:t>
      </w:r>
      <w:r w:rsidRPr="006C728E">
        <w:rPr>
          <w:lang w:val="en-US"/>
        </w:rPr>
        <w:t>, OECD Publishing, Paris.</w:t>
      </w:r>
    </w:p>
    <w:p w:rsidR="00AD19D4" w:rsidRDefault="00A22C65" w:rsidP="00AD19D4">
      <w:pPr>
        <w:autoSpaceDE w:val="0"/>
        <w:autoSpaceDN w:val="0"/>
        <w:adjustRightInd w:val="0"/>
        <w:spacing w:after="0" w:line="240" w:lineRule="auto"/>
        <w:rPr>
          <w:rFonts w:ascii="Book Antiqua" w:hAnsi="Book Antiqua" w:cs="Book Antiqua"/>
          <w:color w:val="000000"/>
          <w:sz w:val="20"/>
          <w:szCs w:val="20"/>
          <w:lang w:val="en-US"/>
        </w:rPr>
      </w:pPr>
      <w:hyperlink r:id="rId7" w:history="1">
        <w:r w:rsidR="00AD19D4" w:rsidRPr="006C728E">
          <w:rPr>
            <w:rStyle w:val="Collegamentoipertestuale"/>
            <w:rFonts w:ascii="Book Antiqua" w:hAnsi="Book Antiqua" w:cs="Book Antiqua"/>
            <w:sz w:val="24"/>
            <w:szCs w:val="24"/>
            <w:lang w:val="en-US"/>
          </w:rPr>
          <w:t>http://www.oecd-ilibrary.org/social-issues-migration-health/health-at-a-glance-2017_health_glance-2017-en</w:t>
        </w:r>
      </w:hyperlink>
    </w:p>
    <w:p w:rsidR="00F443A0" w:rsidRDefault="00F443A0"/>
    <w:sectPr w:rsidR="00F443A0">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2E6F"/>
    <w:rsid w:val="004F2E6F"/>
    <w:rsid w:val="00573CD6"/>
    <w:rsid w:val="00A22C65"/>
    <w:rsid w:val="00AD19D4"/>
    <w:rsid w:val="00F443A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AD19D4"/>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AD19D4"/>
    <w:pPr>
      <w:autoSpaceDE w:val="0"/>
      <w:autoSpaceDN w:val="0"/>
      <w:adjustRightInd w:val="0"/>
      <w:spacing w:after="0" w:line="240" w:lineRule="auto"/>
    </w:pPr>
    <w:rPr>
      <w:rFonts w:ascii="Book Antiqua" w:hAnsi="Book Antiqua" w:cs="Book Antiqua"/>
      <w:color w:val="000000"/>
      <w:sz w:val="24"/>
      <w:szCs w:val="24"/>
    </w:rPr>
  </w:style>
  <w:style w:type="character" w:styleId="Collegamentoipertestuale">
    <w:name w:val="Hyperlink"/>
    <w:uiPriority w:val="99"/>
    <w:rsid w:val="00AD19D4"/>
    <w:rPr>
      <w:rFonts w:cs="Times New Roman"/>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AD19D4"/>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AD19D4"/>
    <w:pPr>
      <w:autoSpaceDE w:val="0"/>
      <w:autoSpaceDN w:val="0"/>
      <w:adjustRightInd w:val="0"/>
      <w:spacing w:after="0" w:line="240" w:lineRule="auto"/>
    </w:pPr>
    <w:rPr>
      <w:rFonts w:ascii="Book Antiqua" w:hAnsi="Book Antiqua" w:cs="Book Antiqua"/>
      <w:color w:val="000000"/>
      <w:sz w:val="24"/>
      <w:szCs w:val="24"/>
    </w:rPr>
  </w:style>
  <w:style w:type="character" w:styleId="Collegamentoipertestuale">
    <w:name w:val="Hyperlink"/>
    <w:uiPriority w:val="99"/>
    <w:rsid w:val="00AD19D4"/>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oecd-ilibrary.org/social-issues-migration-health/health-at-a-glance-2017_health_glance-2017-en"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www.istat.it/it/anziani/stili-di-vita-e-salute" TargetMode="External"/><Relationship Id="rId5" Type="http://schemas.openxmlformats.org/officeDocument/2006/relationships/hyperlink" Target="http://ec.europa.eu/eurostat/data/database"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2116</Words>
  <Characters>12067</Characters>
  <Application>Microsoft Office Word</Application>
  <DocSecurity>0</DocSecurity>
  <Lines>100</Lines>
  <Paragraphs>28</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14155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Manuela Campanelli</cp:lastModifiedBy>
  <cp:revision>2</cp:revision>
  <dcterms:created xsi:type="dcterms:W3CDTF">2018-01-10T09:49:00Z</dcterms:created>
  <dcterms:modified xsi:type="dcterms:W3CDTF">2018-01-10T09:49:00Z</dcterms:modified>
</cp:coreProperties>
</file>